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Czibere Akos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AKTIS ONCOLOGY,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 DRYDOCK AVENUE, SUITE 17-401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Aktis Oncology, Inc.</w:t>
              </w:r>
            </w:hyperlink>
            <w:r>
              <w:rPr/>
              <w:t xml:space="preserve"> [ </w:t>
            </w:r>
            <w:r>
              <w:rPr>
                <w:rFonts w:ascii="Times;serif" w:hAnsi="Times;serif"/>
                <w:color w:val="0000FF"/>
                <w:sz w:val="24"/>
                <w:shd w:fill="FFFFFF" w:val="clear"/>
              </w:rPr>
              <w:t>AKTS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4.95</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5,099</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20.1947</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7,401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7,401</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21.0307</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208,718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herein were effected pursuant to a Rule 10b5-1 trading plan adopted by the Reporting Person on June 24,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$19.6700 to $20.6500,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sold in multiple transactions at prices ranging from $20.6700 to $21.5000,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25% of the original number of shares subject to the option vested on July 1, 2025, and 1/48th of the original number of shares subject to the option vested or shall vest in monthly installments thereafter, subject to the Reporting Person's continuous service through each vesting date,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Kyle D. Kuvalanka,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49427" TargetMode="External"/><Relationship Id="rId5" Type="http://schemas.openxmlformats.org/officeDocument/2006/relationships/hyperlink" Target="http://www.sec.gov/cgi-bin/browse-edgar?action=getcompany&amp;CIK=00020358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806</Words>
  <Characters>4342</Characters>
  <CharactersWithSpaces>5049</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